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BF301C" w14:textId="46CCA6B8" w:rsidR="00AB2AA8" w:rsidRPr="00A13067" w:rsidRDefault="00AB2AA8" w:rsidP="00AB2AA8">
      <w:pPr>
        <w:rPr>
          <w:lang w:val="en-US"/>
        </w:rPr>
      </w:pPr>
      <w:r w:rsidRPr="00A13067">
        <w:rPr>
          <w:b/>
          <w:bCs/>
          <w:lang w:val="en-US"/>
        </w:rPr>
        <w:t>Scenario:</w:t>
      </w:r>
      <w:r w:rsidRPr="00A13067">
        <w:rPr>
          <w:lang w:val="en-US"/>
        </w:rPr>
        <w:t xml:space="preserve"> </w:t>
      </w:r>
      <w:r w:rsidRPr="00A13067">
        <w:rPr>
          <w:i/>
          <w:iCs/>
          <w:lang w:val="en-US"/>
        </w:rPr>
        <w:t>Future – RCP</w:t>
      </w:r>
      <w:r w:rsidR="00F15B96">
        <w:rPr>
          <w:i/>
          <w:iCs/>
          <w:lang w:val="en-US"/>
        </w:rPr>
        <w:t>8</w:t>
      </w:r>
      <w:r w:rsidR="008F62E7">
        <w:rPr>
          <w:i/>
          <w:iCs/>
          <w:lang w:val="en-US"/>
        </w:rPr>
        <w:t>.5</w:t>
      </w:r>
      <w:r w:rsidRPr="00A13067">
        <w:rPr>
          <w:i/>
          <w:iCs/>
          <w:lang w:val="en-US"/>
        </w:rPr>
        <w:t xml:space="preserve"> 2050</w:t>
      </w:r>
      <w:r w:rsidRPr="00A13067">
        <w:rPr>
          <w:lang w:val="en-US"/>
        </w:rPr>
        <w:br/>
      </w:r>
      <w:r w:rsidRPr="00A13067">
        <w:rPr>
          <w:b/>
          <w:bCs/>
          <w:lang w:val="en-US"/>
        </w:rPr>
        <w:t>Run variant:</w:t>
      </w:r>
      <w:r w:rsidRPr="00A13067">
        <w:rPr>
          <w:lang w:val="en-US"/>
        </w:rPr>
        <w:t xml:space="preserve"> </w:t>
      </w:r>
      <w:r w:rsidRPr="00A13067">
        <w:rPr>
          <w:i/>
          <w:iCs/>
          <w:lang w:val="en-US"/>
        </w:rPr>
        <w:t xml:space="preserve">MPAs locked in </w:t>
      </w:r>
      <w:r w:rsidR="008749C3">
        <w:rPr>
          <w:i/>
          <w:iCs/>
          <w:lang w:val="en-US"/>
        </w:rPr>
        <w:t>- no</w:t>
      </w:r>
      <w:r w:rsidRPr="00A13067">
        <w:rPr>
          <w:i/>
          <w:iCs/>
          <w:lang w:val="en-US"/>
        </w:rPr>
        <w:t xml:space="preserve"> species weights</w:t>
      </w:r>
      <w:r>
        <w:rPr>
          <w:i/>
          <w:iCs/>
          <w:lang w:val="en-US"/>
        </w:rPr>
        <w:t xml:space="preserve"> used</w:t>
      </w:r>
    </w:p>
    <w:p w14:paraId="5BA5885F" w14:textId="77777777" w:rsidR="00AB2AA8" w:rsidRPr="00A13067" w:rsidRDefault="00000000" w:rsidP="00AB2AA8">
      <w:r>
        <w:pict w14:anchorId="223A9EF7">
          <v:rect id="_x0000_i1025" style="width:0;height:1.5pt" o:hralign="center" o:hrstd="t" o:hr="t" fillcolor="#a0a0a0" stroked="f"/>
        </w:pict>
      </w:r>
    </w:p>
    <w:p w14:paraId="786D9B6B" w14:textId="77777777" w:rsidR="00AB2AA8" w:rsidRPr="00A13067" w:rsidRDefault="00AB2AA8" w:rsidP="00AB2AA8">
      <w:pPr>
        <w:jc w:val="both"/>
        <w:rPr>
          <w:b/>
          <w:bCs/>
          <w:lang w:val="en-US"/>
        </w:rPr>
      </w:pPr>
      <w:r w:rsidRPr="00A13067">
        <w:rPr>
          <w:b/>
          <w:bCs/>
          <w:lang w:val="en-US"/>
        </w:rPr>
        <w:t>What this scenario represents</w:t>
      </w:r>
      <w:r>
        <w:rPr>
          <w:b/>
          <w:bCs/>
          <w:lang w:val="en-US"/>
        </w:rPr>
        <w:t>:</w:t>
      </w:r>
    </w:p>
    <w:p w14:paraId="1FF06231" w14:textId="017C2D58" w:rsidR="00AB2AA8" w:rsidRPr="00A13067" w:rsidRDefault="00AB2AA8" w:rsidP="00AB2AA8">
      <w:pPr>
        <w:jc w:val="both"/>
        <w:rPr>
          <w:lang w:val="en-US"/>
        </w:rPr>
      </w:pPr>
      <w:r w:rsidRPr="00A13067">
        <w:rPr>
          <w:lang w:val="en-US"/>
        </w:rPr>
        <w:t xml:space="preserve">This scenario explores the future distribution of marine biodiversity in the Black Sea under projected climate change by the year 2050, using </w:t>
      </w:r>
      <w:r w:rsidRPr="002245D6">
        <w:rPr>
          <w:b/>
          <w:bCs/>
          <w:lang w:val="en-US"/>
        </w:rPr>
        <w:t>Representative Concentration Pathway</w:t>
      </w:r>
      <w:r>
        <w:rPr>
          <w:b/>
          <w:bCs/>
          <w:lang w:val="en-US"/>
        </w:rPr>
        <w:t xml:space="preserve"> </w:t>
      </w:r>
      <w:r w:rsidR="00F15B96">
        <w:rPr>
          <w:b/>
          <w:bCs/>
          <w:lang w:val="en-US"/>
        </w:rPr>
        <w:t>8</w:t>
      </w:r>
      <w:r w:rsidR="008F62E7">
        <w:rPr>
          <w:b/>
          <w:bCs/>
          <w:lang w:val="en-US"/>
        </w:rPr>
        <w:t>.5</w:t>
      </w:r>
      <w:r w:rsidRPr="00A13067">
        <w:rPr>
          <w:lang w:val="en-US"/>
        </w:rPr>
        <w:t>. It examines how conservation priorities might shift when accounting for changing species distributions due to climate change, while ensuring existing Marine Protected Areas (MPAs) remain part of the solution.</w:t>
      </w:r>
    </w:p>
    <w:p w14:paraId="63F3B143" w14:textId="77777777" w:rsidR="00AB2AA8" w:rsidRPr="00A13067" w:rsidRDefault="00000000" w:rsidP="00AB2AA8">
      <w:pPr>
        <w:jc w:val="both"/>
      </w:pPr>
      <w:r>
        <w:pict w14:anchorId="3DF12B98">
          <v:rect id="_x0000_i1026" style="width:0;height:1.5pt" o:hralign="center" o:hrstd="t" o:hr="t" fillcolor="#a0a0a0" stroked="f"/>
        </w:pict>
      </w:r>
    </w:p>
    <w:p w14:paraId="16E451C7" w14:textId="77777777" w:rsidR="00AB2AA8" w:rsidRPr="00A13067" w:rsidRDefault="00AB2AA8" w:rsidP="00AB2AA8">
      <w:pPr>
        <w:jc w:val="both"/>
        <w:rPr>
          <w:b/>
          <w:bCs/>
          <w:lang w:val="en-US"/>
        </w:rPr>
      </w:pPr>
      <w:r w:rsidRPr="00A13067">
        <w:rPr>
          <w:b/>
          <w:bCs/>
          <w:lang w:val="en-US"/>
        </w:rPr>
        <w:t>Climate scenario used</w:t>
      </w:r>
      <w:r>
        <w:rPr>
          <w:b/>
          <w:bCs/>
          <w:lang w:val="en-US"/>
        </w:rPr>
        <w:t>:</w:t>
      </w:r>
    </w:p>
    <w:p w14:paraId="5021EB20" w14:textId="08E73B0E" w:rsidR="00AB2AA8" w:rsidRPr="00A13067" w:rsidRDefault="00F15B96" w:rsidP="00AB2AA8">
      <w:pPr>
        <w:jc w:val="both"/>
        <w:rPr>
          <w:lang w:val="en-US"/>
        </w:rPr>
      </w:pPr>
      <w:r w:rsidRPr="00F15B96">
        <w:rPr>
          <w:lang w:val="en-US"/>
        </w:rPr>
        <w:t>The analysis is based on species distribution models projected under RCP</w:t>
      </w:r>
      <w:r w:rsidRPr="00F15B96">
        <w:rPr>
          <w:rFonts w:ascii="Arial" w:hAnsi="Arial" w:cs="Arial"/>
          <w:lang w:val="en-US"/>
        </w:rPr>
        <w:t> </w:t>
      </w:r>
      <w:r w:rsidRPr="00F15B96">
        <w:rPr>
          <w:lang w:val="en-US"/>
        </w:rPr>
        <w:t>8.5, a high-emissions scenario where greenhouse gas emissions continue to increase throughout the century. This pathway assumes limited climate action and results in substantial warming and sea level rise by 2100, posing significant risks to ecosystems and human societies.</w:t>
      </w:r>
      <w:r w:rsidR="00000000">
        <w:pict w14:anchorId="68223318">
          <v:rect id="_x0000_i1027" style="width:0;height:1.5pt" o:hralign="center" o:hrstd="t" o:hr="t" fillcolor="#a0a0a0" stroked="f"/>
        </w:pict>
      </w:r>
    </w:p>
    <w:p w14:paraId="40460E6E" w14:textId="77777777" w:rsidR="00AB2AA8" w:rsidRPr="00A13067" w:rsidRDefault="00AB2AA8" w:rsidP="00AB2AA8">
      <w:pPr>
        <w:jc w:val="both"/>
        <w:rPr>
          <w:b/>
          <w:bCs/>
          <w:lang w:val="en-US"/>
        </w:rPr>
      </w:pPr>
      <w:proofErr w:type="spellStart"/>
      <w:r w:rsidRPr="00A13067">
        <w:rPr>
          <w:b/>
          <w:bCs/>
        </w:rPr>
        <w:t>Data</w:t>
      </w:r>
      <w:proofErr w:type="spellEnd"/>
      <w:r w:rsidRPr="00A13067">
        <w:rPr>
          <w:b/>
          <w:bCs/>
        </w:rPr>
        <w:t xml:space="preserve"> and </w:t>
      </w:r>
      <w:proofErr w:type="spellStart"/>
      <w:r w:rsidRPr="00A13067">
        <w:rPr>
          <w:b/>
          <w:bCs/>
        </w:rPr>
        <w:t>inputs</w:t>
      </w:r>
      <w:proofErr w:type="spellEnd"/>
      <w:r w:rsidRPr="00A13067">
        <w:rPr>
          <w:b/>
          <w:bCs/>
        </w:rPr>
        <w:t xml:space="preserve"> </w:t>
      </w:r>
      <w:proofErr w:type="spellStart"/>
      <w:r w:rsidRPr="00A13067">
        <w:rPr>
          <w:b/>
          <w:bCs/>
        </w:rPr>
        <w:t>used</w:t>
      </w:r>
      <w:proofErr w:type="spellEnd"/>
      <w:r>
        <w:rPr>
          <w:b/>
          <w:bCs/>
          <w:lang w:val="en-US"/>
        </w:rPr>
        <w:t>:</w:t>
      </w:r>
    </w:p>
    <w:p w14:paraId="5AA469B3" w14:textId="34A521F6" w:rsidR="00AB2AA8" w:rsidRPr="00A13067" w:rsidRDefault="00AB2AA8" w:rsidP="00AB2AA8">
      <w:pPr>
        <w:numPr>
          <w:ilvl w:val="0"/>
          <w:numId w:val="1"/>
        </w:numPr>
        <w:jc w:val="both"/>
        <w:rPr>
          <w:lang w:val="en-US"/>
        </w:rPr>
      </w:pPr>
      <w:r w:rsidRPr="00A13067">
        <w:rPr>
          <w:b/>
          <w:bCs/>
          <w:lang w:val="en-US"/>
        </w:rPr>
        <w:t>Future species distributions (RCP</w:t>
      </w:r>
      <w:r w:rsidR="00F15B96">
        <w:rPr>
          <w:b/>
          <w:bCs/>
          <w:lang w:val="en-US"/>
        </w:rPr>
        <w:t>8</w:t>
      </w:r>
      <w:r w:rsidR="008F62E7">
        <w:rPr>
          <w:b/>
          <w:bCs/>
          <w:lang w:val="en-US"/>
        </w:rPr>
        <w:t>.5</w:t>
      </w:r>
      <w:r w:rsidRPr="00A13067">
        <w:rPr>
          <w:b/>
          <w:bCs/>
          <w:lang w:val="en-US"/>
        </w:rPr>
        <w:t xml:space="preserve"> 2050):</w:t>
      </w:r>
      <w:r w:rsidRPr="00A13067">
        <w:rPr>
          <w:lang w:val="en-US"/>
        </w:rPr>
        <w:t xml:space="preserve"> </w:t>
      </w:r>
      <w:r>
        <w:rPr>
          <w:lang w:val="en-US"/>
        </w:rPr>
        <w:t>Species distributions</w:t>
      </w:r>
      <w:r w:rsidRPr="00A13067">
        <w:rPr>
          <w:lang w:val="en-US"/>
        </w:rPr>
        <w:t xml:space="preserve"> under projected climate conditions.</w:t>
      </w:r>
    </w:p>
    <w:p w14:paraId="7077ECC3" w14:textId="77777777" w:rsidR="00AB2AA8" w:rsidRPr="00A13067" w:rsidRDefault="00000000" w:rsidP="00AB2AA8">
      <w:pPr>
        <w:jc w:val="both"/>
      </w:pPr>
      <w:r>
        <w:pict w14:anchorId="030F0780">
          <v:rect id="_x0000_i1028" style="width:0;height:1.5pt" o:hralign="center" o:hrstd="t" o:hr="t" fillcolor="#a0a0a0" stroked="f"/>
        </w:pict>
      </w:r>
    </w:p>
    <w:p w14:paraId="43C2F4E4" w14:textId="77777777" w:rsidR="00AB2AA8" w:rsidRPr="00A13067" w:rsidRDefault="00AB2AA8" w:rsidP="00AB2AA8">
      <w:pPr>
        <w:jc w:val="both"/>
        <w:rPr>
          <w:b/>
          <w:bCs/>
          <w:lang w:val="en-US"/>
        </w:rPr>
      </w:pPr>
      <w:r w:rsidRPr="00A13067">
        <w:rPr>
          <w:b/>
          <w:bCs/>
          <w:lang w:val="en-US"/>
        </w:rPr>
        <w:t>MPAs locked in – what this means &amp; why</w:t>
      </w:r>
      <w:r>
        <w:rPr>
          <w:b/>
          <w:bCs/>
          <w:lang w:val="en-US"/>
        </w:rPr>
        <w:t>:</w:t>
      </w:r>
    </w:p>
    <w:p w14:paraId="2939B901" w14:textId="77777777" w:rsidR="00AB2AA8" w:rsidRPr="00A13067" w:rsidRDefault="00AB2AA8" w:rsidP="00AB2AA8">
      <w:pPr>
        <w:jc w:val="both"/>
        <w:rPr>
          <w:lang w:val="en-US"/>
        </w:rPr>
      </w:pPr>
      <w:r w:rsidRPr="00A13067">
        <w:rPr>
          <w:lang w:val="en-US"/>
        </w:rPr>
        <w:t xml:space="preserve">In this run, the spatial prioritization was constrained so that all existing </w:t>
      </w:r>
      <w:r w:rsidRPr="00A13067">
        <w:rPr>
          <w:b/>
          <w:bCs/>
          <w:lang w:val="en-US"/>
        </w:rPr>
        <w:t>Marine Protected Areas (MPAs)</w:t>
      </w:r>
      <w:r w:rsidRPr="00A13067">
        <w:rPr>
          <w:lang w:val="en-US"/>
        </w:rPr>
        <w:t xml:space="preserve"> are retained in the final solution (“locked in”).</w:t>
      </w:r>
      <w:r w:rsidRPr="00A13067">
        <w:rPr>
          <w:lang w:val="en-US"/>
        </w:rPr>
        <w:br/>
        <w:t>This approach respects current conservation commitments and ensures that the network builds on areas already recognized as important for biodiversity.</w:t>
      </w:r>
    </w:p>
    <w:p w14:paraId="673057CF" w14:textId="76A245DC" w:rsidR="00AB2AA8" w:rsidRPr="00A13067" w:rsidRDefault="00000000" w:rsidP="00881950">
      <w:pPr>
        <w:jc w:val="both"/>
      </w:pPr>
      <w:r>
        <w:pict w14:anchorId="66AF00D1">
          <v:rect id="_x0000_i1029" style="width:0;height:1.5pt" o:hralign="center" o:hrstd="t" o:hr="t" fillcolor="#a0a0a0" stroked="f"/>
        </w:pict>
      </w:r>
    </w:p>
    <w:p w14:paraId="44A59550" w14:textId="77777777" w:rsidR="00AB2AA8" w:rsidRPr="00A13067" w:rsidRDefault="00AB2AA8" w:rsidP="00AB2AA8">
      <w:pPr>
        <w:jc w:val="both"/>
        <w:rPr>
          <w:b/>
          <w:bCs/>
          <w:lang w:val="en-US"/>
        </w:rPr>
      </w:pPr>
      <w:r w:rsidRPr="00A13067">
        <w:rPr>
          <w:b/>
          <w:bCs/>
          <w:lang w:val="en-US"/>
        </w:rPr>
        <w:t>Summary</w:t>
      </w:r>
    </w:p>
    <w:p w14:paraId="1F5DF43B" w14:textId="3942AEA8" w:rsidR="00AB2AA8" w:rsidRDefault="00AB2AA8" w:rsidP="00AB2AA8">
      <w:pPr>
        <w:pBdr>
          <w:bottom w:val="single" w:sz="6" w:space="0" w:color="auto"/>
        </w:pBdr>
        <w:jc w:val="both"/>
        <w:rPr>
          <w:lang w:val="en-US"/>
        </w:rPr>
      </w:pPr>
      <w:r w:rsidRPr="00A13067">
        <w:rPr>
          <w:lang w:val="en-US"/>
        </w:rPr>
        <w:t>This run identifies priority conservation areas for 2050 under a low-emissions climate future (RCP</w:t>
      </w:r>
      <w:r w:rsidR="00F15B96">
        <w:rPr>
          <w:lang w:val="en-US"/>
        </w:rPr>
        <w:t>8</w:t>
      </w:r>
      <w:r w:rsidR="008F62E7">
        <w:rPr>
          <w:lang w:val="en-US"/>
        </w:rPr>
        <w:t>.5</w:t>
      </w:r>
      <w:r w:rsidRPr="00A13067">
        <w:rPr>
          <w:lang w:val="en-US"/>
        </w:rPr>
        <w:t xml:space="preserve">), </w:t>
      </w:r>
      <w:proofErr w:type="gramStart"/>
      <w:r>
        <w:rPr>
          <w:lang w:val="en-US"/>
        </w:rPr>
        <w:t>taking into account</w:t>
      </w:r>
      <w:proofErr w:type="gramEnd"/>
      <w:r w:rsidRPr="00A13067">
        <w:rPr>
          <w:lang w:val="en-US"/>
        </w:rPr>
        <w:t xml:space="preserve"> biodiversity needs</w:t>
      </w:r>
      <w:r>
        <w:rPr>
          <w:lang w:val="en-US"/>
        </w:rPr>
        <w:t xml:space="preserve">, </w:t>
      </w:r>
      <w:r w:rsidRPr="00A13067">
        <w:rPr>
          <w:lang w:val="en-US"/>
        </w:rPr>
        <w:t>ensuring the existing MPA network is respecte</w:t>
      </w:r>
      <w:r w:rsidR="00881950">
        <w:rPr>
          <w:lang w:val="en-US"/>
        </w:rPr>
        <w:t>d</w:t>
      </w:r>
      <w:r w:rsidRPr="00A13067">
        <w:rPr>
          <w:lang w:val="en-US"/>
        </w:rPr>
        <w:t>.</w:t>
      </w:r>
    </w:p>
    <w:p w14:paraId="726F50ED" w14:textId="77777777" w:rsidR="00AB2AA8" w:rsidRDefault="00AB2AA8" w:rsidP="00AB2AA8">
      <w:pPr>
        <w:pBdr>
          <w:bottom w:val="single" w:sz="6" w:space="0" w:color="auto"/>
        </w:pBdr>
        <w:jc w:val="both"/>
        <w:rPr>
          <w:lang w:val="en-US"/>
        </w:rPr>
      </w:pPr>
    </w:p>
    <w:p w14:paraId="48992C88" w14:textId="77777777" w:rsidR="001B332A" w:rsidRPr="00AB2AA8" w:rsidRDefault="001B332A">
      <w:pPr>
        <w:rPr>
          <w:lang w:val="en-US"/>
        </w:rPr>
      </w:pPr>
    </w:p>
    <w:sectPr w:rsidR="001B332A" w:rsidRPr="00AB2AA8">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A1"/>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AB4EA7"/>
    <w:multiLevelType w:val="multilevel"/>
    <w:tmpl w:val="2CCAA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3661C2E"/>
    <w:multiLevelType w:val="multilevel"/>
    <w:tmpl w:val="6CE87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49237947">
    <w:abstractNumId w:val="0"/>
  </w:num>
  <w:num w:numId="2" w16cid:durableId="18349472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5044"/>
    <w:rsid w:val="001B332A"/>
    <w:rsid w:val="004B5188"/>
    <w:rsid w:val="004D5044"/>
    <w:rsid w:val="006C55B0"/>
    <w:rsid w:val="007B143B"/>
    <w:rsid w:val="008749C3"/>
    <w:rsid w:val="00881950"/>
    <w:rsid w:val="008F62E7"/>
    <w:rsid w:val="00AB2AA8"/>
    <w:rsid w:val="00B93AE6"/>
    <w:rsid w:val="00CF4CAB"/>
    <w:rsid w:val="00EF7AA2"/>
    <w:rsid w:val="00F15B96"/>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18C5D"/>
  <w15:chartTrackingRefBased/>
  <w15:docId w15:val="{C0AD8261-9892-490C-87E1-1E75FC4BB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l-GR" w:eastAsia="en-US" w:bidi="he-IL"/>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2AA8"/>
    <w:pPr>
      <w:spacing w:line="259" w:lineRule="auto"/>
    </w:pPr>
    <w:rPr>
      <w:sz w:val="22"/>
      <w:szCs w:val="22"/>
      <w:lang w:bidi="ar-SA"/>
    </w:rPr>
  </w:style>
  <w:style w:type="paragraph" w:styleId="Heading1">
    <w:name w:val="heading 1"/>
    <w:basedOn w:val="Normal"/>
    <w:next w:val="Normal"/>
    <w:link w:val="Heading1Char"/>
    <w:uiPriority w:val="9"/>
    <w:qFormat/>
    <w:rsid w:val="004D504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D50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D504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D504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D504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D504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D504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D504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D504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504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D504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D504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D504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D504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D504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D504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D504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D5044"/>
    <w:rPr>
      <w:rFonts w:eastAsiaTheme="majorEastAsia" w:cstheme="majorBidi"/>
      <w:color w:val="272727" w:themeColor="text1" w:themeTint="D8"/>
    </w:rPr>
  </w:style>
  <w:style w:type="paragraph" w:styleId="Title">
    <w:name w:val="Title"/>
    <w:basedOn w:val="Normal"/>
    <w:next w:val="Normal"/>
    <w:link w:val="TitleChar"/>
    <w:uiPriority w:val="10"/>
    <w:qFormat/>
    <w:rsid w:val="004D50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D504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D504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D504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D5044"/>
    <w:pPr>
      <w:spacing w:before="160"/>
      <w:jc w:val="center"/>
    </w:pPr>
    <w:rPr>
      <w:i/>
      <w:iCs/>
      <w:color w:val="404040" w:themeColor="text1" w:themeTint="BF"/>
    </w:rPr>
  </w:style>
  <w:style w:type="character" w:customStyle="1" w:styleId="QuoteChar">
    <w:name w:val="Quote Char"/>
    <w:basedOn w:val="DefaultParagraphFont"/>
    <w:link w:val="Quote"/>
    <w:uiPriority w:val="29"/>
    <w:rsid w:val="004D5044"/>
    <w:rPr>
      <w:i/>
      <w:iCs/>
      <w:color w:val="404040" w:themeColor="text1" w:themeTint="BF"/>
    </w:rPr>
  </w:style>
  <w:style w:type="paragraph" w:styleId="ListParagraph">
    <w:name w:val="List Paragraph"/>
    <w:basedOn w:val="Normal"/>
    <w:uiPriority w:val="34"/>
    <w:qFormat/>
    <w:rsid w:val="004D5044"/>
    <w:pPr>
      <w:ind w:left="720"/>
      <w:contextualSpacing/>
    </w:pPr>
  </w:style>
  <w:style w:type="character" w:styleId="IntenseEmphasis">
    <w:name w:val="Intense Emphasis"/>
    <w:basedOn w:val="DefaultParagraphFont"/>
    <w:uiPriority w:val="21"/>
    <w:qFormat/>
    <w:rsid w:val="004D5044"/>
    <w:rPr>
      <w:i/>
      <w:iCs/>
      <w:color w:val="0F4761" w:themeColor="accent1" w:themeShade="BF"/>
    </w:rPr>
  </w:style>
  <w:style w:type="paragraph" w:styleId="IntenseQuote">
    <w:name w:val="Intense Quote"/>
    <w:basedOn w:val="Normal"/>
    <w:next w:val="Normal"/>
    <w:link w:val="IntenseQuoteChar"/>
    <w:uiPriority w:val="30"/>
    <w:qFormat/>
    <w:rsid w:val="004D50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D5044"/>
    <w:rPr>
      <w:i/>
      <w:iCs/>
      <w:color w:val="0F4761" w:themeColor="accent1" w:themeShade="BF"/>
    </w:rPr>
  </w:style>
  <w:style w:type="character" w:styleId="IntenseReference">
    <w:name w:val="Intense Reference"/>
    <w:basedOn w:val="DefaultParagraphFont"/>
    <w:uiPriority w:val="32"/>
    <w:qFormat/>
    <w:rsid w:val="004D504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283081">
      <w:bodyDiv w:val="1"/>
      <w:marLeft w:val="0"/>
      <w:marRight w:val="0"/>
      <w:marTop w:val="0"/>
      <w:marBottom w:val="0"/>
      <w:divBdr>
        <w:top w:val="none" w:sz="0" w:space="0" w:color="auto"/>
        <w:left w:val="none" w:sz="0" w:space="0" w:color="auto"/>
        <w:bottom w:val="none" w:sz="0" w:space="0" w:color="auto"/>
        <w:right w:val="none" w:sz="0" w:space="0" w:color="auto"/>
      </w:divBdr>
    </w:div>
    <w:div w:id="761418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244</Words>
  <Characters>1318</Characters>
  <Application>Microsoft Office Word</Application>
  <DocSecurity>0</DocSecurity>
  <Lines>10</Lines>
  <Paragraphs>3</Paragraphs>
  <ScaleCrop>false</ScaleCrop>
  <Company/>
  <LinksUpToDate>false</LinksUpToDate>
  <CharactersWithSpaces>1559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Dimitra Dalla</dc:creator>
  <cp:keywords/>
  <dc:description/>
  <cp:lastModifiedBy>Dimitra Dalla</cp:lastModifiedBy>
  <cp:revision>6</cp:revision>
  <dcterms:created xsi:type="dcterms:W3CDTF">2025-08-04T14:35:00Z</dcterms:created>
  <dcterms:modified xsi:type="dcterms:W3CDTF">2025-08-04T15:18:00Z</dcterms:modified>
</cp:coreProperties>
</file>